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5D" w:rsidRPr="00172F38" w:rsidRDefault="00E57E5D" w:rsidP="00E57E5D">
      <w:pPr>
        <w:pStyle w:val="11"/>
        <w:tabs>
          <w:tab w:val="left" w:pos="567"/>
          <w:tab w:val="left" w:pos="709"/>
          <w:tab w:val="left" w:pos="851"/>
        </w:tabs>
        <w:spacing w:line="276" w:lineRule="auto"/>
        <w:rPr>
          <w:sz w:val="28"/>
          <w:szCs w:val="28"/>
        </w:rPr>
      </w:pPr>
      <w:r w:rsidRPr="00172F38">
        <w:rPr>
          <w:color w:val="0A0705"/>
          <w:sz w:val="28"/>
          <w:szCs w:val="28"/>
        </w:rPr>
        <w:t>Реагування</w:t>
      </w:r>
      <w:r w:rsidRPr="00172F38">
        <w:rPr>
          <w:color w:val="0A0705"/>
          <w:spacing w:val="-3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на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доведені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випадки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булінгу</w:t>
      </w:r>
    </w:p>
    <w:p w:rsidR="00E57E5D" w:rsidRPr="00A26029" w:rsidRDefault="00E57E5D" w:rsidP="00E57E5D">
      <w:pPr>
        <w:pStyle w:val="a5"/>
        <w:numPr>
          <w:ilvl w:val="0"/>
          <w:numId w:val="2"/>
        </w:numPr>
        <w:tabs>
          <w:tab w:val="left" w:pos="437"/>
          <w:tab w:val="left" w:pos="567"/>
          <w:tab w:val="left" w:pos="709"/>
          <w:tab w:val="left" w:pos="851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color w:val="0A0705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На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основі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рішення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комісії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з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розгляду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випадків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булінгу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(цькування),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яка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кваліфікувала</w:t>
      </w:r>
      <w:r w:rsidRPr="00172F38">
        <w:rPr>
          <w:color w:val="0A0705"/>
          <w:spacing w:val="-57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 xml:space="preserve">випадок як </w:t>
      </w:r>
      <w:proofErr w:type="spellStart"/>
      <w:r w:rsidRPr="00172F38">
        <w:rPr>
          <w:color w:val="0A0705"/>
          <w:sz w:val="28"/>
          <w:szCs w:val="28"/>
        </w:rPr>
        <w:t>булінг</w:t>
      </w:r>
      <w:proofErr w:type="spellEnd"/>
      <w:r w:rsidRPr="00172F38">
        <w:rPr>
          <w:color w:val="0A0705"/>
          <w:sz w:val="28"/>
          <w:szCs w:val="28"/>
        </w:rPr>
        <w:t xml:space="preserve"> (цькування), а не одноразовий конфлікт чи сварка, тобто відповідні дії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носять систематичний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характер, директор:</w:t>
      </w:r>
    </w:p>
    <w:p w:rsidR="00E57E5D" w:rsidRPr="00A26029" w:rsidRDefault="00E57E5D" w:rsidP="00E57E5D">
      <w:pPr>
        <w:pStyle w:val="a5"/>
        <w:numPr>
          <w:ilvl w:val="0"/>
          <w:numId w:val="1"/>
        </w:numPr>
        <w:tabs>
          <w:tab w:val="left" w:pos="437"/>
          <w:tab w:val="left" w:pos="567"/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color w:val="0A0705"/>
          <w:sz w:val="28"/>
          <w:szCs w:val="28"/>
        </w:rPr>
        <w:t>п</w:t>
      </w:r>
      <w:r w:rsidRPr="00A26029">
        <w:rPr>
          <w:color w:val="0A0705"/>
          <w:sz w:val="28"/>
          <w:szCs w:val="28"/>
        </w:rPr>
        <w:t>овідомляє уповноваженим підрозділам органів Національної поліції України (ювенальна</w:t>
      </w:r>
      <w:r w:rsidRPr="00A26029">
        <w:rPr>
          <w:color w:val="0A0705"/>
          <w:spacing w:val="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поліція)</w:t>
      </w:r>
      <w:r w:rsidRPr="00A26029">
        <w:rPr>
          <w:color w:val="0A0705"/>
          <w:spacing w:val="-2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та</w:t>
      </w:r>
      <w:r w:rsidRPr="00A26029">
        <w:rPr>
          <w:color w:val="0A0705"/>
          <w:spacing w:val="-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службі</w:t>
      </w:r>
      <w:r w:rsidRPr="00A26029">
        <w:rPr>
          <w:color w:val="0A0705"/>
          <w:spacing w:val="-2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у</w:t>
      </w:r>
      <w:r w:rsidRPr="00A26029">
        <w:rPr>
          <w:color w:val="0A0705"/>
          <w:spacing w:val="-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справах</w:t>
      </w:r>
      <w:r w:rsidRPr="00A26029">
        <w:rPr>
          <w:color w:val="0A0705"/>
          <w:spacing w:val="-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дітей</w:t>
      </w:r>
      <w:r w:rsidRPr="00A26029">
        <w:rPr>
          <w:color w:val="0A0705"/>
          <w:spacing w:val="-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про</w:t>
      </w:r>
      <w:r w:rsidRPr="00A26029">
        <w:rPr>
          <w:color w:val="0A0705"/>
          <w:spacing w:val="-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випадки</w:t>
      </w:r>
      <w:r w:rsidRPr="00A26029">
        <w:rPr>
          <w:color w:val="0A0705"/>
          <w:spacing w:val="-3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булінгу</w:t>
      </w:r>
      <w:r w:rsidRPr="00A26029">
        <w:rPr>
          <w:color w:val="0A0705"/>
          <w:spacing w:val="-2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(цькування)</w:t>
      </w:r>
      <w:r w:rsidRPr="00A26029">
        <w:rPr>
          <w:color w:val="0A0705"/>
          <w:spacing w:val="-2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в</w:t>
      </w:r>
      <w:r w:rsidRPr="00A26029">
        <w:rPr>
          <w:color w:val="0A0705"/>
          <w:spacing w:val="-2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закладі</w:t>
      </w:r>
      <w:r w:rsidRPr="00A26029">
        <w:rPr>
          <w:color w:val="0A0705"/>
          <w:spacing w:val="-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освіти;</w:t>
      </w:r>
    </w:p>
    <w:p w:rsidR="00E57E5D" w:rsidRPr="00A26029" w:rsidRDefault="00E57E5D" w:rsidP="00E57E5D">
      <w:pPr>
        <w:pStyle w:val="a5"/>
        <w:numPr>
          <w:ilvl w:val="0"/>
          <w:numId w:val="1"/>
        </w:numPr>
        <w:tabs>
          <w:tab w:val="left" w:pos="437"/>
          <w:tab w:val="left" w:pos="567"/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A26029">
        <w:rPr>
          <w:color w:val="0A0705"/>
          <w:sz w:val="28"/>
          <w:szCs w:val="28"/>
        </w:rPr>
        <w:t>забезпечує виконання заходів для надання соціальних та психолого-педагогічних послуг</w:t>
      </w:r>
      <w:r w:rsidRPr="00A26029">
        <w:rPr>
          <w:color w:val="0A0705"/>
          <w:spacing w:val="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 xml:space="preserve">здобувачам освіти, які вчинили </w:t>
      </w:r>
      <w:proofErr w:type="spellStart"/>
      <w:r w:rsidRPr="00A26029">
        <w:rPr>
          <w:color w:val="0A0705"/>
          <w:sz w:val="28"/>
          <w:szCs w:val="28"/>
        </w:rPr>
        <w:t>булінг</w:t>
      </w:r>
      <w:proofErr w:type="spellEnd"/>
      <w:r w:rsidRPr="00A26029">
        <w:rPr>
          <w:color w:val="0A0705"/>
          <w:sz w:val="28"/>
          <w:szCs w:val="28"/>
        </w:rPr>
        <w:t>, стали його свідками або постраждали від булінгу</w:t>
      </w:r>
      <w:r w:rsidRPr="00A26029">
        <w:rPr>
          <w:color w:val="0A0705"/>
          <w:spacing w:val="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(цькування)</w:t>
      </w:r>
      <w:r w:rsidRPr="00A26029">
        <w:rPr>
          <w:color w:val="0A0705"/>
          <w:spacing w:val="-2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(далі</w:t>
      </w:r>
      <w:r w:rsidRPr="00A26029">
        <w:rPr>
          <w:color w:val="0A0705"/>
          <w:spacing w:val="1"/>
          <w:sz w:val="28"/>
          <w:szCs w:val="28"/>
        </w:rPr>
        <w:t xml:space="preserve"> </w:t>
      </w:r>
      <w:r w:rsidRPr="00A26029">
        <w:rPr>
          <w:color w:val="0A0705"/>
          <w:sz w:val="28"/>
          <w:szCs w:val="28"/>
        </w:rPr>
        <w:t>– Заходи).</w:t>
      </w:r>
    </w:p>
    <w:p w:rsidR="00E57E5D" w:rsidRPr="00172F38" w:rsidRDefault="00E57E5D" w:rsidP="00E57E5D">
      <w:pPr>
        <w:pStyle w:val="a5"/>
        <w:numPr>
          <w:ilvl w:val="0"/>
          <w:numId w:val="2"/>
        </w:numPr>
        <w:tabs>
          <w:tab w:val="left" w:pos="507"/>
          <w:tab w:val="left" w:pos="567"/>
          <w:tab w:val="left" w:pos="709"/>
          <w:tab w:val="left" w:pos="851"/>
        </w:tabs>
        <w:spacing w:before="1" w:line="276" w:lineRule="auto"/>
        <w:ind w:left="709"/>
        <w:jc w:val="both"/>
        <w:rPr>
          <w:sz w:val="28"/>
          <w:szCs w:val="28"/>
        </w:rPr>
      </w:pPr>
      <w:r>
        <w:rPr>
          <w:color w:val="0A0705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Заходи здійснюються заступником директора з виховної роботи у взаємодії з практичним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психологом</w:t>
      </w:r>
      <w:r w:rsidRPr="00172F38">
        <w:rPr>
          <w:color w:val="0A0705"/>
          <w:spacing w:val="58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та затверджуються директором</w:t>
      </w:r>
      <w:r w:rsidRPr="00172F38">
        <w:rPr>
          <w:color w:val="0A0705"/>
          <w:spacing w:val="-3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закладу.</w:t>
      </w:r>
    </w:p>
    <w:p w:rsidR="00E57E5D" w:rsidRPr="00172F38" w:rsidRDefault="00E57E5D" w:rsidP="00E57E5D">
      <w:pPr>
        <w:pStyle w:val="a5"/>
        <w:numPr>
          <w:ilvl w:val="0"/>
          <w:numId w:val="2"/>
        </w:numPr>
        <w:tabs>
          <w:tab w:val="left" w:pos="437"/>
          <w:tab w:val="left" w:pos="567"/>
          <w:tab w:val="left" w:pos="709"/>
          <w:tab w:val="left" w:pos="851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color w:val="0A0705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З метою виконання Заходів можна запроваджувати консультаційні години у практичного</w:t>
      </w:r>
      <w:r w:rsidRPr="00172F38">
        <w:rPr>
          <w:color w:val="0A0705"/>
          <w:spacing w:val="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психолога,</w:t>
      </w:r>
      <w:r w:rsidRPr="00172F38">
        <w:rPr>
          <w:color w:val="0A0705"/>
          <w:spacing w:val="-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створювати скриньки</w:t>
      </w:r>
      <w:r w:rsidRPr="00172F38">
        <w:rPr>
          <w:color w:val="0A0705"/>
          <w:spacing w:val="-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довіри, оприлюднювати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телефони</w:t>
      </w:r>
      <w:r w:rsidRPr="00172F38">
        <w:rPr>
          <w:color w:val="0A0705"/>
          <w:spacing w:val="-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довіри.</w:t>
      </w:r>
    </w:p>
    <w:p w:rsidR="00E57E5D" w:rsidRDefault="00E57E5D" w:rsidP="00E57E5D">
      <w:pPr>
        <w:pStyle w:val="11"/>
        <w:tabs>
          <w:tab w:val="left" w:pos="567"/>
          <w:tab w:val="left" w:pos="709"/>
          <w:tab w:val="left" w:pos="851"/>
        </w:tabs>
        <w:spacing w:line="276" w:lineRule="auto"/>
        <w:ind w:left="1948"/>
        <w:jc w:val="both"/>
        <w:rPr>
          <w:color w:val="0A0705"/>
          <w:sz w:val="28"/>
          <w:szCs w:val="28"/>
        </w:rPr>
      </w:pPr>
    </w:p>
    <w:p w:rsidR="00E57E5D" w:rsidRPr="00172F38" w:rsidRDefault="00E57E5D" w:rsidP="00E57E5D">
      <w:pPr>
        <w:pStyle w:val="11"/>
        <w:tabs>
          <w:tab w:val="left" w:pos="567"/>
          <w:tab w:val="left" w:pos="709"/>
          <w:tab w:val="left" w:pos="851"/>
        </w:tabs>
        <w:spacing w:line="276" w:lineRule="auto"/>
        <w:ind w:left="1948"/>
        <w:jc w:val="both"/>
        <w:rPr>
          <w:sz w:val="28"/>
          <w:szCs w:val="28"/>
        </w:rPr>
      </w:pPr>
      <w:r w:rsidRPr="00172F38">
        <w:rPr>
          <w:color w:val="0A0705"/>
          <w:sz w:val="28"/>
          <w:szCs w:val="28"/>
        </w:rPr>
        <w:t>Відповідальність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осіб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причетних</w:t>
      </w:r>
      <w:r w:rsidRPr="00172F38">
        <w:rPr>
          <w:color w:val="0A0705"/>
          <w:spacing w:val="-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до</w:t>
      </w:r>
      <w:r w:rsidRPr="00172F38">
        <w:rPr>
          <w:color w:val="0A0705"/>
          <w:spacing w:val="-2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булінгу</w:t>
      </w:r>
      <w:r w:rsidRPr="00172F38">
        <w:rPr>
          <w:color w:val="0A0705"/>
          <w:spacing w:val="-1"/>
          <w:sz w:val="28"/>
          <w:szCs w:val="28"/>
        </w:rPr>
        <w:t xml:space="preserve"> </w:t>
      </w:r>
      <w:r w:rsidRPr="00172F38">
        <w:rPr>
          <w:color w:val="0A0705"/>
          <w:sz w:val="28"/>
          <w:szCs w:val="28"/>
        </w:rPr>
        <w:t>(цькування)</w:t>
      </w:r>
    </w:p>
    <w:p w:rsidR="00E57E5D" w:rsidRPr="00172F38" w:rsidRDefault="00E57E5D" w:rsidP="00E57E5D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196"/>
        <w:jc w:val="both"/>
      </w:pPr>
      <w:r w:rsidRPr="00172F38">
        <w:rPr>
          <w:color w:val="0A0705"/>
        </w:rPr>
        <w:t xml:space="preserve">1. Відповідальність за </w:t>
      </w:r>
      <w:proofErr w:type="spellStart"/>
      <w:r w:rsidRPr="00172F38">
        <w:rPr>
          <w:color w:val="0A0705"/>
        </w:rPr>
        <w:t>булінг</w:t>
      </w:r>
      <w:proofErr w:type="spellEnd"/>
      <w:r w:rsidRPr="00172F38">
        <w:rPr>
          <w:color w:val="0A0705"/>
        </w:rPr>
        <w:t xml:space="preserve"> (цькування) встановлена статтею 173 п.4 Кодексу України про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адміністративні</w:t>
      </w:r>
      <w:r w:rsidRPr="00172F38">
        <w:rPr>
          <w:color w:val="0A0705"/>
          <w:spacing w:val="-3"/>
        </w:rPr>
        <w:t xml:space="preserve"> </w:t>
      </w:r>
      <w:r w:rsidRPr="00172F38">
        <w:rPr>
          <w:color w:val="0A0705"/>
        </w:rPr>
        <w:t>правопорушення такого змісту:</w:t>
      </w:r>
    </w:p>
    <w:p w:rsidR="00E57E5D" w:rsidRDefault="00E57E5D" w:rsidP="00E57E5D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196"/>
        <w:jc w:val="both"/>
      </w:pPr>
      <w:r w:rsidRPr="00172F38">
        <w:rPr>
          <w:color w:val="0A0705"/>
        </w:rPr>
        <w:t>«Стаття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173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п.4».</w:t>
      </w:r>
      <w:r w:rsidRPr="00172F38">
        <w:rPr>
          <w:color w:val="0A0705"/>
          <w:spacing w:val="-2"/>
        </w:rPr>
        <w:t xml:space="preserve"> </w:t>
      </w:r>
      <w:proofErr w:type="spellStart"/>
      <w:r w:rsidRPr="00172F38">
        <w:rPr>
          <w:color w:val="0A0705"/>
        </w:rPr>
        <w:t>Булінг</w:t>
      </w:r>
      <w:proofErr w:type="spellEnd"/>
      <w:r w:rsidRPr="00172F38">
        <w:rPr>
          <w:color w:val="0A0705"/>
          <w:spacing w:val="-3"/>
        </w:rPr>
        <w:t xml:space="preserve"> </w:t>
      </w:r>
      <w:r w:rsidRPr="00172F38">
        <w:rPr>
          <w:color w:val="0A0705"/>
        </w:rPr>
        <w:t>(цькування)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учасника</w:t>
      </w:r>
      <w:r w:rsidRPr="00172F38">
        <w:rPr>
          <w:color w:val="0A0705"/>
          <w:spacing w:val="-3"/>
        </w:rPr>
        <w:t xml:space="preserve"> </w:t>
      </w:r>
      <w:r w:rsidRPr="00172F38">
        <w:rPr>
          <w:color w:val="0A0705"/>
        </w:rPr>
        <w:t>освітнього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процесу.</w:t>
      </w:r>
    </w:p>
    <w:p w:rsidR="00E57E5D" w:rsidRPr="00172F38" w:rsidRDefault="00E57E5D" w:rsidP="00E57E5D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196"/>
        <w:jc w:val="both"/>
      </w:pPr>
      <w:r>
        <w:tab/>
      </w:r>
      <w:r>
        <w:tab/>
      </w:r>
      <w:r>
        <w:tab/>
      </w:r>
      <w:proofErr w:type="spellStart"/>
      <w:r w:rsidRPr="00172F38">
        <w:rPr>
          <w:color w:val="0A0705"/>
        </w:rPr>
        <w:t>Булінг</w:t>
      </w:r>
      <w:proofErr w:type="spellEnd"/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(цькування),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тобто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діяння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учасників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освітнього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процесу,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які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полягають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у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психологічному,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фізичному,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економічному,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сексуальному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насильстві,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у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тому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числі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із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застосуванням засобів електронних комунікацій, що вчиняються стосовно малолітньої чи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неповнолітньої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особи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або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такою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особою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стосовно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інших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учасників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освітнього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процесу,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внаслідок чого могла бути чи була заподіяна шкода психічному або фізичному здоров’ю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потерпілого, - тягне за собою накладення штрафу від п’ятдесяти до ста неоподатковуваних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мінімумів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доходів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громадян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або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громадські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роботи на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строк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-4"/>
        </w:rPr>
        <w:t xml:space="preserve"> </w:t>
      </w:r>
      <w:r w:rsidRPr="00172F38">
        <w:rPr>
          <w:color w:val="0A0705"/>
        </w:rPr>
        <w:t>двадцяти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сорока</w:t>
      </w:r>
      <w:r w:rsidRPr="00172F38">
        <w:rPr>
          <w:color w:val="0A0705"/>
          <w:spacing w:val="-3"/>
        </w:rPr>
        <w:t xml:space="preserve"> </w:t>
      </w:r>
      <w:r w:rsidRPr="00172F38">
        <w:rPr>
          <w:color w:val="0A0705"/>
        </w:rPr>
        <w:t>годин.</w:t>
      </w:r>
    </w:p>
    <w:p w:rsidR="00E57E5D" w:rsidRDefault="00E57E5D" w:rsidP="00E57E5D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196"/>
        <w:jc w:val="both"/>
      </w:pPr>
      <w:r>
        <w:rPr>
          <w:color w:val="0A0705"/>
        </w:rPr>
        <w:tab/>
      </w:r>
      <w:r>
        <w:rPr>
          <w:color w:val="0A0705"/>
        </w:rPr>
        <w:tab/>
      </w:r>
      <w:r>
        <w:rPr>
          <w:color w:val="0A0705"/>
        </w:rPr>
        <w:tab/>
      </w:r>
      <w:r w:rsidRPr="00172F38">
        <w:rPr>
          <w:color w:val="0A0705"/>
        </w:rPr>
        <w:t>Діяння,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передбачене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частиною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першою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цієї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статті,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вчинене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групою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осіб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або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повторно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протягом року після накладення адміністративного стягнення, - тягне за собою накладення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штрафу від ста до двохсот неоподатковуваних мінімумів доходів громадян або громадські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роботи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на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строк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сорока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до шістдесяти годин.</w:t>
      </w:r>
    </w:p>
    <w:p w:rsidR="00E57E5D" w:rsidRDefault="00E57E5D" w:rsidP="00E57E5D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196"/>
        <w:jc w:val="both"/>
      </w:pPr>
      <w:r>
        <w:tab/>
      </w:r>
      <w:r>
        <w:tab/>
      </w:r>
      <w:r>
        <w:tab/>
      </w:r>
      <w:r w:rsidRPr="00172F38">
        <w:rPr>
          <w:color w:val="0A0705"/>
        </w:rPr>
        <w:t>Діяння, передбачене частиною першою цієї статті, вчинене малолітніми або неповнолітніми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особами</w:t>
      </w:r>
      <w:r w:rsidRPr="00172F38">
        <w:rPr>
          <w:color w:val="0A0705"/>
          <w:spacing w:val="22"/>
        </w:rPr>
        <w:t xml:space="preserve"> </w:t>
      </w:r>
      <w:r w:rsidRPr="00172F38">
        <w:rPr>
          <w:color w:val="0A0705"/>
        </w:rPr>
        <w:t>віком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чотирнадцяти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23"/>
        </w:rPr>
        <w:t xml:space="preserve"> </w:t>
      </w:r>
      <w:r w:rsidRPr="00172F38">
        <w:rPr>
          <w:color w:val="0A0705"/>
        </w:rPr>
        <w:t>шістнадцяти</w:t>
      </w:r>
      <w:r w:rsidRPr="00172F38">
        <w:rPr>
          <w:color w:val="0A0705"/>
          <w:spacing w:val="23"/>
        </w:rPr>
        <w:t xml:space="preserve"> </w:t>
      </w:r>
      <w:r w:rsidRPr="00172F38">
        <w:rPr>
          <w:color w:val="0A0705"/>
        </w:rPr>
        <w:t>років,</w:t>
      </w:r>
      <w:r w:rsidRPr="00172F38">
        <w:rPr>
          <w:color w:val="0A0705"/>
          <w:spacing w:val="26"/>
        </w:rPr>
        <w:t xml:space="preserve"> </w:t>
      </w:r>
      <w:r w:rsidRPr="00172F38">
        <w:rPr>
          <w:color w:val="0A0705"/>
        </w:rPr>
        <w:t>-</w:t>
      </w:r>
      <w:r>
        <w:rPr>
          <w:color w:val="0A0705"/>
        </w:rPr>
        <w:t xml:space="preserve"> </w:t>
      </w:r>
      <w:r w:rsidRPr="00172F38">
        <w:rPr>
          <w:color w:val="0A0705"/>
        </w:rPr>
        <w:t>тягне</w:t>
      </w:r>
      <w:r w:rsidRPr="00172F38">
        <w:rPr>
          <w:color w:val="0A0705"/>
          <w:spacing w:val="18"/>
        </w:rPr>
        <w:t xml:space="preserve"> </w:t>
      </w:r>
      <w:r w:rsidRPr="00172F38">
        <w:rPr>
          <w:color w:val="0A0705"/>
        </w:rPr>
        <w:t>за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собою</w:t>
      </w:r>
      <w:r w:rsidRPr="00172F38">
        <w:rPr>
          <w:color w:val="0A0705"/>
          <w:spacing w:val="22"/>
        </w:rPr>
        <w:t xml:space="preserve"> </w:t>
      </w:r>
      <w:r w:rsidRPr="00172F38">
        <w:rPr>
          <w:color w:val="0A0705"/>
        </w:rPr>
        <w:t>накладення</w:t>
      </w:r>
      <w:r w:rsidRPr="00172F38">
        <w:rPr>
          <w:color w:val="0A0705"/>
          <w:spacing w:val="19"/>
        </w:rPr>
        <w:t xml:space="preserve"> </w:t>
      </w:r>
      <w:r w:rsidRPr="00172F38">
        <w:rPr>
          <w:color w:val="0A0705"/>
        </w:rPr>
        <w:t>штрафу</w:t>
      </w:r>
      <w:r w:rsidRPr="00172F38">
        <w:rPr>
          <w:color w:val="0A0705"/>
          <w:spacing w:val="-58"/>
        </w:rPr>
        <w:t xml:space="preserve"> </w:t>
      </w:r>
      <w:r w:rsidRPr="00172F38">
        <w:rPr>
          <w:color w:val="0A0705"/>
        </w:rPr>
        <w:t xml:space="preserve">на батьків або осіб, </w:t>
      </w:r>
      <w:r w:rsidRPr="00172F38">
        <w:rPr>
          <w:color w:val="0A0705"/>
        </w:rPr>
        <w:lastRenderedPageBreak/>
        <w:t>які їх замінюють, від п’ятдесяти до ста неоподатковуваних мінімумів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доходів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громадян або громадські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роботи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на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строк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двадцяти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до сорока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годин.</w:t>
      </w:r>
    </w:p>
    <w:p w:rsidR="00E57E5D" w:rsidRDefault="00E57E5D" w:rsidP="00E57E5D">
      <w:pPr>
        <w:pStyle w:val="a3"/>
        <w:tabs>
          <w:tab w:val="left" w:pos="567"/>
          <w:tab w:val="left" w:pos="709"/>
          <w:tab w:val="left" w:pos="851"/>
        </w:tabs>
        <w:spacing w:line="276" w:lineRule="auto"/>
        <w:ind w:left="196"/>
        <w:jc w:val="both"/>
        <w:rPr>
          <w:color w:val="0A0705"/>
        </w:rPr>
      </w:pPr>
      <w:r>
        <w:tab/>
      </w:r>
      <w:r>
        <w:tab/>
      </w:r>
      <w:r>
        <w:tab/>
      </w:r>
      <w:r w:rsidRPr="00172F38">
        <w:rPr>
          <w:color w:val="0A0705"/>
        </w:rPr>
        <w:t>Діяння, передбачене частиною другою цієї статті, вчинене малолітньою або неповнолітньою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особою</w:t>
      </w:r>
      <w:r w:rsidRPr="00172F38">
        <w:rPr>
          <w:color w:val="0A0705"/>
          <w:spacing w:val="22"/>
        </w:rPr>
        <w:t xml:space="preserve"> </w:t>
      </w:r>
      <w:r w:rsidRPr="00172F38">
        <w:rPr>
          <w:color w:val="0A0705"/>
        </w:rPr>
        <w:t>віком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22"/>
        </w:rPr>
        <w:t xml:space="preserve"> </w:t>
      </w:r>
      <w:r w:rsidRPr="00172F38">
        <w:rPr>
          <w:color w:val="0A0705"/>
        </w:rPr>
        <w:t>чотирнадцяти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22"/>
        </w:rPr>
        <w:t xml:space="preserve"> </w:t>
      </w:r>
      <w:r w:rsidRPr="00172F38">
        <w:rPr>
          <w:color w:val="0A0705"/>
        </w:rPr>
        <w:t>шістнадцяти</w:t>
      </w:r>
      <w:r w:rsidRPr="00172F38">
        <w:rPr>
          <w:color w:val="0A0705"/>
          <w:spacing w:val="24"/>
        </w:rPr>
        <w:t xml:space="preserve"> </w:t>
      </w:r>
      <w:r w:rsidRPr="00172F38">
        <w:rPr>
          <w:color w:val="0A0705"/>
        </w:rPr>
        <w:t>років,</w:t>
      </w:r>
      <w:r w:rsidRPr="00172F38">
        <w:rPr>
          <w:color w:val="0A0705"/>
          <w:spacing w:val="25"/>
        </w:rPr>
        <w:t xml:space="preserve"> </w:t>
      </w:r>
      <w:r w:rsidRPr="00172F38">
        <w:rPr>
          <w:color w:val="0A0705"/>
        </w:rPr>
        <w:t>-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тягне</w:t>
      </w:r>
      <w:r w:rsidRPr="00172F38">
        <w:rPr>
          <w:color w:val="0A0705"/>
          <w:spacing w:val="21"/>
        </w:rPr>
        <w:t xml:space="preserve"> </w:t>
      </w:r>
      <w:r w:rsidRPr="00172F38">
        <w:rPr>
          <w:color w:val="0A0705"/>
        </w:rPr>
        <w:t>за</w:t>
      </w:r>
      <w:r w:rsidRPr="00172F38">
        <w:rPr>
          <w:color w:val="0A0705"/>
          <w:spacing w:val="20"/>
        </w:rPr>
        <w:t xml:space="preserve"> </w:t>
      </w:r>
      <w:r w:rsidRPr="00172F38">
        <w:rPr>
          <w:color w:val="0A0705"/>
        </w:rPr>
        <w:t>собою</w:t>
      </w:r>
      <w:r w:rsidRPr="00172F38">
        <w:rPr>
          <w:color w:val="0A0705"/>
          <w:spacing w:val="23"/>
        </w:rPr>
        <w:t xml:space="preserve"> </w:t>
      </w:r>
      <w:r w:rsidRPr="00172F38">
        <w:rPr>
          <w:color w:val="0A0705"/>
        </w:rPr>
        <w:t>накладення</w:t>
      </w:r>
      <w:r w:rsidRPr="00172F38">
        <w:rPr>
          <w:color w:val="0A0705"/>
          <w:spacing w:val="19"/>
        </w:rPr>
        <w:t xml:space="preserve"> </w:t>
      </w:r>
      <w:r w:rsidRPr="00172F38">
        <w:rPr>
          <w:color w:val="0A0705"/>
        </w:rPr>
        <w:t>штрафу</w:t>
      </w:r>
      <w:r w:rsidRPr="00172F38">
        <w:rPr>
          <w:color w:val="0A0705"/>
          <w:spacing w:val="-58"/>
        </w:rPr>
        <w:t xml:space="preserve"> </w:t>
      </w:r>
      <w:r w:rsidRPr="00172F38">
        <w:rPr>
          <w:color w:val="0A0705"/>
        </w:rPr>
        <w:t>на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батьків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або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осіб,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які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їх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замінюють,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ста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двохсот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неоподатковуваних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мінімумів</w:t>
      </w:r>
      <w:r w:rsidRPr="00172F38">
        <w:rPr>
          <w:color w:val="0A0705"/>
          <w:spacing w:val="-57"/>
        </w:rPr>
        <w:t xml:space="preserve"> </w:t>
      </w:r>
      <w:r w:rsidRPr="00172F38">
        <w:rPr>
          <w:color w:val="0A0705"/>
        </w:rPr>
        <w:t>доходів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громадян або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громадські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роботи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на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строк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-2"/>
        </w:rPr>
        <w:t xml:space="preserve"> </w:t>
      </w:r>
      <w:r w:rsidRPr="00172F38">
        <w:rPr>
          <w:color w:val="0A0705"/>
        </w:rPr>
        <w:t>сорока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шістдесяти годин.</w:t>
      </w:r>
    </w:p>
    <w:p w:rsidR="00E57E5D" w:rsidRDefault="00E57E5D" w:rsidP="00E57E5D">
      <w:pPr>
        <w:pStyle w:val="a3"/>
        <w:tabs>
          <w:tab w:val="left" w:pos="567"/>
          <w:tab w:val="left" w:pos="709"/>
          <w:tab w:val="left" w:pos="851"/>
        </w:tabs>
        <w:spacing w:before="66" w:line="276" w:lineRule="auto"/>
        <w:ind w:left="284" w:right="2"/>
        <w:jc w:val="both"/>
        <w:rPr>
          <w:color w:val="0A0705"/>
        </w:rPr>
      </w:pPr>
      <w:r>
        <w:rPr>
          <w:color w:val="0A0705"/>
        </w:rPr>
        <w:tab/>
      </w:r>
      <w:r>
        <w:rPr>
          <w:color w:val="0A0705"/>
        </w:rPr>
        <w:tab/>
      </w:r>
      <w:r>
        <w:rPr>
          <w:color w:val="0A0705"/>
        </w:rPr>
        <w:tab/>
        <w:t>Н</w:t>
      </w:r>
      <w:r w:rsidRPr="00172F38">
        <w:rPr>
          <w:color w:val="0A0705"/>
        </w:rPr>
        <w:t>еповідомлення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директором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закладу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уповноваженим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підрозділам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органів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Національної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поліції України про випадки булінгу (цькування) учасника освітнього процесу – тягне за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собою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накладення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штрафу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від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п’ятдесяти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ста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неоподатковуваних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мінімумів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доходів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громадян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або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виправні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роботи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на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строк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одного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місяця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з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відрахуванням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до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двадцяти</w:t>
      </w:r>
      <w:r w:rsidRPr="00172F38">
        <w:rPr>
          <w:color w:val="0A0705"/>
          <w:spacing w:val="1"/>
        </w:rPr>
        <w:t xml:space="preserve"> </w:t>
      </w:r>
      <w:r w:rsidRPr="00172F38">
        <w:rPr>
          <w:color w:val="0A0705"/>
        </w:rPr>
        <w:t>процентів</w:t>
      </w:r>
      <w:r w:rsidRPr="00172F38">
        <w:rPr>
          <w:color w:val="0A0705"/>
          <w:spacing w:val="-1"/>
        </w:rPr>
        <w:t xml:space="preserve"> </w:t>
      </w:r>
      <w:r w:rsidRPr="00172F38">
        <w:rPr>
          <w:color w:val="0A0705"/>
        </w:rPr>
        <w:t>заробітку.</w:t>
      </w:r>
    </w:p>
    <w:p w:rsidR="000E2331" w:rsidRPr="00E57E5D" w:rsidRDefault="00E57E5D">
      <w:pPr>
        <w:rPr>
          <w:lang w:val="uk-UA"/>
        </w:rPr>
      </w:pPr>
      <w:bookmarkStart w:id="0" w:name="_GoBack"/>
      <w:bookmarkEnd w:id="0"/>
    </w:p>
    <w:sectPr w:rsidR="000E2331" w:rsidRPr="00E5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4EED"/>
    <w:multiLevelType w:val="hybridMultilevel"/>
    <w:tmpl w:val="5AA031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79552C1"/>
    <w:multiLevelType w:val="hybridMultilevel"/>
    <w:tmpl w:val="DC30AF92"/>
    <w:lvl w:ilvl="0" w:tplc="8B5E11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83"/>
    <w:rsid w:val="002D4083"/>
    <w:rsid w:val="004153E2"/>
    <w:rsid w:val="00553971"/>
    <w:rsid w:val="00E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26938-2D24-4D18-9C78-B403F6DB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7E5D"/>
    <w:pPr>
      <w:widowControl w:val="0"/>
      <w:autoSpaceDE w:val="0"/>
      <w:autoSpaceDN w:val="0"/>
      <w:spacing w:after="0" w:line="240" w:lineRule="auto"/>
      <w:ind w:left="1444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E57E5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57E5D"/>
    <w:pPr>
      <w:widowControl w:val="0"/>
      <w:autoSpaceDE w:val="0"/>
      <w:autoSpaceDN w:val="0"/>
      <w:spacing w:after="0" w:line="240" w:lineRule="auto"/>
      <w:ind w:left="1386" w:hanging="286"/>
    </w:pPr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uiPriority w:val="1"/>
    <w:qFormat/>
    <w:rsid w:val="00E57E5D"/>
    <w:pPr>
      <w:widowControl w:val="0"/>
      <w:autoSpaceDE w:val="0"/>
      <w:autoSpaceDN w:val="0"/>
      <w:spacing w:after="0" w:line="240" w:lineRule="auto"/>
      <w:ind w:left="1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2024-10-08T06:27:00Z</dcterms:created>
  <dcterms:modified xsi:type="dcterms:W3CDTF">2024-10-08T06:27:00Z</dcterms:modified>
</cp:coreProperties>
</file>